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default"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w: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24"/>
        <w:gridCol w:w="2816"/>
        <w:gridCol w:w="1655"/>
        <w:gridCol w:w="2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24" w:type="dxa"/>
            <w:tcBorders>
              <w:tl2br w:val="nil"/>
              <w:tr2bl w:val="nil"/>
            </w:tcBorders>
            <w:vAlign w:val="top"/>
          </w:tcPr>
          <w:p>
            <w:pPr>
              <w:bidi w:val="0"/>
              <w:jc w:val="both"/>
              <w:rPr>
                <w:rFonts w:hint="eastAsia"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公文名称：</w:t>
            </w:r>
          </w:p>
        </w:tc>
        <w:tc>
          <w:tcPr>
            <w:tcW w:w="7437" w:type="dxa"/>
            <w:gridSpan w:val="3"/>
            <w:tcBorders>
              <w:tl2br w:val="nil"/>
              <w:tr2bl w:val="nil"/>
            </w:tcBorders>
            <w:vAlign w:val="top"/>
          </w:tcPr>
          <w:p>
            <w:pPr>
              <w:bidi w:val="0"/>
              <w:jc w:val="both"/>
              <w:rPr>
                <w:rFonts w:hint="default" w:ascii="仿宋" w:hAnsi="仿宋" w:eastAsia="仿宋" w:cs="仿宋"/>
                <w:kern w:val="0"/>
                <w:sz w:val="25"/>
                <w:szCs w:val="25"/>
                <w:lang w:eastAsia="zh-CN" w:bidi="ar"/>
              </w:rPr>
            </w:pPr>
            <w:r>
              <w:rPr>
                <w:rFonts w:hint="default" w:ascii="仿宋" w:hAnsi="仿宋" w:eastAsia="仿宋" w:cs="仿宋"/>
                <w:kern w:val="0"/>
                <w:sz w:val="25"/>
                <w:szCs w:val="25"/>
                <w:lang w:eastAsia="zh-CN" w:bidi="ar"/>
              </w:rPr>
              <w:t>住房和城乡建设部  财政部  民政部  国家乡村振兴局关于做好农村低收入群体等重点对象住房安全保障工作的实施意见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24"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索 引 号：</w:t>
            </w:r>
          </w:p>
        </w:tc>
        <w:tc>
          <w:tcPr>
            <w:tcW w:w="2816"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r>
              <w:rPr>
                <w:rFonts w:hint="default" w:ascii="仿宋" w:hAnsi="仿宋" w:eastAsia="仿宋" w:cs="仿宋"/>
                <w:kern w:val="0"/>
                <w:sz w:val="25"/>
                <w:szCs w:val="25"/>
                <w:lang w:eastAsia="zh-CN" w:bidi="ar"/>
              </w:rPr>
              <w:t>000013338/2021-00159</w:t>
            </w:r>
          </w:p>
        </w:tc>
        <w:tc>
          <w:tcPr>
            <w:tcW w:w="1655"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default" w:ascii="仿宋" w:hAnsi="仿宋" w:eastAsia="仿宋" w:cs="仿宋"/>
                <w:kern w:val="0"/>
                <w:sz w:val="25"/>
                <w:szCs w:val="25"/>
                <w:lang w:eastAsia="zh-CN" w:bidi="ar"/>
              </w:rPr>
              <w:t>分</w:t>
            </w:r>
            <w:r>
              <w:rPr>
                <w:rFonts w:hint="eastAsia" w:ascii="仿宋" w:hAnsi="仿宋" w:eastAsia="仿宋" w:cs="仿宋"/>
                <w:kern w:val="0"/>
                <w:sz w:val="25"/>
                <w:szCs w:val="25"/>
                <w:lang w:val="en-US" w:eastAsia="zh-CN" w:bidi="ar"/>
              </w:rPr>
              <w:t xml:space="preserve">    </w:t>
            </w:r>
            <w:r>
              <w:rPr>
                <w:rFonts w:hint="default" w:ascii="仿宋" w:hAnsi="仿宋" w:eastAsia="仿宋" w:cs="仿宋"/>
                <w:kern w:val="0"/>
                <w:sz w:val="25"/>
                <w:szCs w:val="25"/>
                <w:lang w:eastAsia="zh-CN" w:bidi="ar"/>
              </w:rPr>
              <w:t>类</w:t>
            </w:r>
            <w:r>
              <w:rPr>
                <w:rFonts w:hint="eastAsia" w:ascii="仿宋" w:hAnsi="仿宋" w:eastAsia="仿宋" w:cs="仿宋"/>
                <w:kern w:val="0"/>
                <w:sz w:val="25"/>
                <w:szCs w:val="25"/>
                <w:lang w:val="en-US" w:eastAsia="zh-CN" w:bidi="ar"/>
              </w:rPr>
              <w:t>：</w:t>
            </w:r>
          </w:p>
        </w:tc>
        <w:tc>
          <w:tcPr>
            <w:tcW w:w="2966" w:type="dxa"/>
            <w:tcBorders>
              <w:tl2br w:val="nil"/>
              <w:tr2bl w:val="nil"/>
            </w:tcBorders>
          </w:tcPr>
          <w:p>
            <w:pPr>
              <w:bidi w:val="0"/>
              <w:jc w:val="both"/>
              <w:rPr>
                <w:rFonts w:hint="default" w:ascii="仿宋" w:hAnsi="仿宋" w:eastAsia="仿宋" w:cs="仿宋"/>
                <w:kern w:val="0"/>
                <w:sz w:val="25"/>
                <w:szCs w:val="25"/>
                <w:vertAlign w:val="baseline"/>
                <w:lang w:eastAsia="zh-CN" w:bidi="ar"/>
              </w:rPr>
            </w:pPr>
            <w:r>
              <w:rPr>
                <w:rFonts w:hint="default" w:ascii="仿宋" w:hAnsi="仿宋" w:eastAsia="仿宋" w:cs="仿宋"/>
                <w:kern w:val="0"/>
                <w:sz w:val="25"/>
                <w:szCs w:val="25"/>
                <w:lang w:eastAsia="zh-CN" w:bidi="ar"/>
              </w:rPr>
              <w:t>村镇建设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24" w:type="dxa"/>
            <w:tcBorders>
              <w:tl2br w:val="nil"/>
              <w:tr2bl w:val="nil"/>
            </w:tcBorders>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发文单位：</w:t>
            </w:r>
          </w:p>
        </w:tc>
        <w:tc>
          <w:tcPr>
            <w:tcW w:w="2816"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default" w:ascii="仿宋" w:hAnsi="仿宋" w:eastAsia="仿宋" w:cs="仿宋"/>
                <w:kern w:val="0"/>
                <w:sz w:val="25"/>
                <w:szCs w:val="25"/>
                <w:lang w:eastAsia="zh-CN" w:bidi="ar"/>
              </w:rPr>
              <w:t>住房和城乡建设部　财政部　民政部　国家乡村振兴局</w:t>
            </w:r>
          </w:p>
        </w:tc>
        <w:tc>
          <w:tcPr>
            <w:tcW w:w="1655"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发</w:t>
            </w:r>
            <w:bookmarkStart w:id="0" w:name="_GoBack"/>
            <w:bookmarkEnd w:id="0"/>
            <w:r>
              <w:rPr>
                <w:rFonts w:hint="eastAsia" w:ascii="仿宋" w:hAnsi="仿宋" w:eastAsia="仿宋" w:cs="仿宋"/>
                <w:kern w:val="0"/>
                <w:sz w:val="25"/>
                <w:szCs w:val="25"/>
                <w:lang w:val="en-US" w:eastAsia="zh-CN" w:bidi="ar"/>
              </w:rPr>
              <w:t>文日期：</w:t>
            </w:r>
          </w:p>
        </w:tc>
        <w:tc>
          <w:tcPr>
            <w:tcW w:w="2966"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r>
              <w:rPr>
                <w:rFonts w:hint="default" w:ascii="仿宋" w:hAnsi="仿宋" w:eastAsia="仿宋" w:cs="仿宋"/>
                <w:kern w:val="0"/>
                <w:sz w:val="25"/>
                <w:szCs w:val="25"/>
                <w:lang w:eastAsia="zh-CN" w:bidi="ar"/>
              </w:rPr>
              <w:t>2021-04-14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24"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r>
              <w:rPr>
                <w:rFonts w:hint="eastAsia" w:ascii="仿宋" w:hAnsi="仿宋" w:eastAsia="仿宋" w:cs="仿宋"/>
                <w:kern w:val="0"/>
                <w:sz w:val="25"/>
                <w:szCs w:val="25"/>
                <w:lang w:val="en-US" w:eastAsia="zh-CN" w:bidi="ar"/>
              </w:rPr>
              <w:t>文    号：</w:t>
            </w:r>
          </w:p>
        </w:tc>
        <w:tc>
          <w:tcPr>
            <w:tcW w:w="2816"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r>
              <w:rPr>
                <w:rFonts w:hint="default" w:ascii="仿宋" w:hAnsi="仿宋" w:eastAsia="仿宋" w:cs="仿宋"/>
                <w:kern w:val="0"/>
                <w:sz w:val="25"/>
                <w:szCs w:val="25"/>
                <w:lang w:eastAsia="zh-CN" w:bidi="ar"/>
              </w:rPr>
              <w:t>建村〔2021〕35号</w:t>
            </w:r>
          </w:p>
        </w:tc>
        <w:tc>
          <w:tcPr>
            <w:tcW w:w="1655"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主 题 词：</w:t>
            </w:r>
          </w:p>
        </w:tc>
        <w:tc>
          <w:tcPr>
            <w:tcW w:w="2966"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24" w:type="dxa"/>
            <w:tcBorders>
              <w:tl2br w:val="nil"/>
              <w:tr2bl w:val="nil"/>
            </w:tcBorders>
          </w:tcPr>
          <w:p>
            <w:pPr>
              <w:bidi w:val="0"/>
              <w:jc w:val="both"/>
              <w:rPr>
                <w:rFonts w:hint="eastAsia" w:ascii="仿宋" w:hAnsi="仿宋" w:eastAsia="仿宋" w:cs="仿宋"/>
                <w:kern w:val="0"/>
                <w:sz w:val="25"/>
                <w:szCs w:val="25"/>
                <w:lang w:val="en-US" w:eastAsia="zh-CN" w:bidi="ar"/>
              </w:rPr>
            </w:pPr>
            <w:r>
              <w:rPr>
                <w:rFonts w:hint="default" w:ascii="仿宋" w:hAnsi="仿宋" w:eastAsia="仿宋" w:cs="仿宋"/>
                <w:kern w:val="0"/>
                <w:sz w:val="25"/>
                <w:szCs w:val="25"/>
                <w:lang w:eastAsia="zh-CN" w:bidi="ar"/>
              </w:rPr>
              <w:t>实施日期</w:t>
            </w:r>
            <w:r>
              <w:rPr>
                <w:rFonts w:hint="eastAsia" w:ascii="仿宋" w:hAnsi="仿宋" w:eastAsia="仿宋" w:cs="仿宋"/>
                <w:kern w:val="0"/>
                <w:sz w:val="25"/>
                <w:szCs w:val="25"/>
                <w:lang w:val="en-US" w:eastAsia="zh-CN" w:bidi="ar"/>
              </w:rPr>
              <w:t>：</w:t>
            </w:r>
          </w:p>
        </w:tc>
        <w:tc>
          <w:tcPr>
            <w:tcW w:w="2816" w:type="dxa"/>
            <w:tcBorders>
              <w:tl2br w:val="nil"/>
              <w:tr2bl w:val="nil"/>
            </w:tcBorders>
          </w:tcPr>
          <w:p>
            <w:pPr>
              <w:bidi w:val="0"/>
              <w:jc w:val="both"/>
              <w:rPr>
                <w:rFonts w:hint="eastAsia" w:ascii="仿宋" w:hAnsi="仿宋" w:eastAsia="仿宋" w:cs="仿宋"/>
                <w:kern w:val="0"/>
                <w:sz w:val="25"/>
                <w:szCs w:val="25"/>
                <w:vertAlign w:val="baseline"/>
                <w:lang w:val="en-US" w:eastAsia="zh-CN" w:bidi="ar"/>
              </w:rPr>
            </w:pPr>
          </w:p>
        </w:tc>
        <w:tc>
          <w:tcPr>
            <w:tcW w:w="1655" w:type="dxa"/>
            <w:tcBorders>
              <w:tl2br w:val="nil"/>
              <w:tr2bl w:val="nil"/>
            </w:tcBorders>
          </w:tcPr>
          <w:p>
            <w:pPr>
              <w:bidi w:val="0"/>
              <w:jc w:val="both"/>
              <w:rPr>
                <w:rFonts w:hint="default" w:ascii="仿宋" w:hAnsi="仿宋" w:eastAsia="仿宋" w:cs="仿宋"/>
                <w:kern w:val="0"/>
                <w:sz w:val="25"/>
                <w:szCs w:val="25"/>
                <w:lang w:eastAsia="zh-CN" w:bidi="ar"/>
              </w:rPr>
            </w:pPr>
            <w:r>
              <w:rPr>
                <w:rFonts w:hint="default" w:ascii="仿宋" w:hAnsi="仿宋" w:eastAsia="仿宋" w:cs="仿宋"/>
                <w:kern w:val="0"/>
                <w:sz w:val="25"/>
                <w:szCs w:val="25"/>
                <w:lang w:eastAsia="zh-CN" w:bidi="ar"/>
              </w:rPr>
              <w:t>废止日期：</w:t>
            </w:r>
          </w:p>
        </w:tc>
        <w:tc>
          <w:tcPr>
            <w:tcW w:w="2966" w:type="dxa"/>
            <w:tcBorders>
              <w:tl2br w:val="nil"/>
              <w:tr2bl w:val="nil"/>
            </w:tcBorders>
          </w:tcPr>
          <w:p>
            <w:pPr>
              <w:bidi w:val="0"/>
              <w:jc w:val="both"/>
              <w:rPr>
                <w:rFonts w:hint="default" w:ascii="仿宋" w:hAnsi="仿宋" w:eastAsia="仿宋" w:cs="仿宋"/>
                <w:kern w:val="0"/>
                <w:sz w:val="25"/>
                <w:szCs w:val="25"/>
                <w:lang w:eastAsia="zh-CN" w:bidi="ar"/>
              </w:rPr>
            </w:pPr>
          </w:p>
        </w:tc>
      </w:tr>
    </w:tbl>
    <w:p>
      <w:pPr>
        <w:bidi w:val="0"/>
        <w:jc w:val="both"/>
        <w:rPr>
          <w:rFonts w:hint="eastAsia" w:ascii="仿宋" w:hAnsi="仿宋" w:eastAsia="仿宋" w:cs="仿宋"/>
          <w:kern w:val="0"/>
          <w:sz w:val="25"/>
          <w:szCs w:val="25"/>
          <w:lang w:val="en-US" w:eastAsia="zh-CN" w:bidi="ar"/>
        </w:rPr>
        <w:sectPr>
          <w:headerReference r:id="rId3" w:type="default"/>
          <w:footerReference r:id="rId4" w:type="default"/>
          <w:type w:val="continuous"/>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bidi w:val="0"/>
        <w:jc w:val="both"/>
        <w:rPr>
          <w:rFonts w:hint="default" w:ascii="仿宋" w:hAnsi="仿宋" w:eastAsia="仿宋" w:cs="仿宋"/>
          <w:kern w:val="0"/>
          <w:sz w:val="25"/>
          <w:szCs w:val="25"/>
          <w:lang w:val="en-US" w:eastAsia="zh-CN" w:bidi="ar"/>
        </w:rPr>
      </w:pPr>
      <w:r>
        <w:rPr>
          <w:rFonts w:hint="eastAsia" w:ascii="仿宋" w:hAnsi="仿宋" w:eastAsia="仿宋" w:cs="仿宋"/>
          <w:kern w:val="0"/>
          <w:sz w:val="25"/>
          <w:szCs w:val="25"/>
          <w:lang w:val="en-US" w:eastAsia="zh-CN" w:bidi="ar"/>
        </w:rPr>
        <w:t>......................................................................</w:t>
      </w:r>
    </w:p>
    <w:p>
      <w:pPr>
        <w:bidi w:val="0"/>
        <w:jc w:val="both"/>
        <w:rPr>
          <w:rFonts w:hint="eastAsia" w:ascii="仿宋" w:hAnsi="仿宋" w:eastAsia="仿宋" w:cs="仿宋"/>
          <w:kern w:val="0"/>
          <w:sz w:val="25"/>
          <w:szCs w:val="25"/>
          <w:lang w:val="en-US" w:eastAsia="zh-CN" w:bidi="ar"/>
        </w:rPr>
      </w:pPr>
    </w:p>
    <w:p>
      <w:pPr>
        <w:bidi w:val="0"/>
        <w:jc w:val="center"/>
        <w:rPr>
          <w:rFonts w:hint="default" w:ascii="楷体_GB2312" w:hAnsi="楷体_GB2312" w:eastAsia="楷体_GB2312" w:cs="楷体_GB2312"/>
          <w:i w:val="0"/>
          <w:caps w:val="0"/>
          <w:color w:val="333333"/>
          <w:spacing w:val="0"/>
          <w:sz w:val="32"/>
          <w:szCs w:val="32"/>
          <w:shd w:val="clear" w:fill="FFFFFF"/>
          <w:lang w:val="en-US" w:eastAsia="zh-CN"/>
        </w:rPr>
      </w:pPr>
      <w:r>
        <w:rPr>
          <w:rFonts w:hint="default" w:ascii="宋体" w:hAnsi="宋体" w:eastAsia="宋体" w:cs="宋体"/>
          <w:i w:val="0"/>
          <w:caps w:val="0"/>
          <w:color w:val="auto"/>
          <w:spacing w:val="0"/>
          <w:sz w:val="44"/>
          <w:szCs w:val="44"/>
          <w:shd w:val="clear" w:fill="FFFFFF"/>
          <w:lang w:eastAsia="zh-CN"/>
        </w:rPr>
        <w:t>住房和城乡建设部 财政部 民政部 国家乡村振兴局 关于做好农村低收入群体等重点对象 住房安全保障工作的实施意见</w:t>
      </w:r>
    </w:p>
    <w:p>
      <w:pPr>
        <w:bidi w:val="0"/>
        <w:jc w:val="left"/>
        <w:rPr>
          <w:rFonts w:hint="default" w:ascii="楷体_GB2312" w:hAnsi="楷体_GB2312" w:eastAsia="楷体_GB2312" w:cs="楷体_GB2312"/>
          <w:i w:val="0"/>
          <w:caps w:val="0"/>
          <w:color w:val="333333"/>
          <w:spacing w:val="0"/>
          <w:sz w:val="32"/>
          <w:szCs w:val="32"/>
          <w:shd w:val="clear" w:fill="FFFFFF"/>
          <w:lang w:val="en-US" w:eastAsia="zh-CN"/>
        </w:rPr>
      </w:pPr>
    </w:p>
    <w:p>
      <w:pPr>
        <w:pStyle w:val="5"/>
        <w:keepNext w:val="0"/>
        <w:keepLines w:val="0"/>
        <w:widowControl/>
        <w:suppressLineNumbers w:val="0"/>
      </w:pPr>
      <w:r>
        <w:t>各省、自治区、直辖市住房和城乡建设厅（委、管委）、财政厅、民政厅、乡村振兴（扶贫）部门，新疆生产建设兵团住房和城乡建设局、财务局、民政局、扶贫办：</w:t>
      </w:r>
    </w:p>
    <w:p>
      <w:pPr>
        <w:pStyle w:val="5"/>
        <w:keepNext w:val="0"/>
        <w:keepLines w:val="0"/>
        <w:widowControl/>
        <w:suppressLineNumbers w:val="0"/>
      </w:pPr>
      <w:r>
        <w:t>　　2020年底，脱贫攻坚贫困人口住房安全有保障目标任务全面完成。为进一步巩固拓展脱贫攻坚成果，接续推动乡村全面振兴，根据《中共中央 国务院关于实现巩固拓展脱贫攻坚成果同乡村振兴有效衔接的意见》，现就做好农村低收入群体等重点对象住房安全保障工作提出如下实施意见。</w:t>
      </w:r>
    </w:p>
    <w:p>
      <w:pPr>
        <w:pStyle w:val="5"/>
        <w:keepNext w:val="0"/>
        <w:keepLines w:val="0"/>
        <w:widowControl/>
        <w:suppressLineNumbers w:val="0"/>
      </w:pPr>
      <w:r>
        <w:t>　　一、总体要求</w:t>
      </w:r>
    </w:p>
    <w:p>
      <w:pPr>
        <w:pStyle w:val="5"/>
        <w:keepNext w:val="0"/>
        <w:keepLines w:val="0"/>
        <w:widowControl/>
        <w:suppressLineNumbers w:val="0"/>
      </w:pPr>
      <w:r>
        <w:t>　　以习近平新时代中国特色社会主义思想为指导，深入贯彻落实党的十九大和十九届二中、三中、四中、五中全会精神，立足新发展阶段，贯彻新发展理念，构建新发展格局，坚持以人民为中心，按照党中央、国务院关于建立健全巩固拓展脱贫攻坚成果长效机制的决策部署，继续实施农村危房改造和地震高烈度设防地区农房抗震改造，“十四五”期间，在保持政策稳定性、延续性的基础上调整优化，逐步建立健全农村低收入群体住房安全保障长效机制，实现巩固拓展脱贫攻坚成果同乡村振兴有效衔接。</w:t>
      </w:r>
    </w:p>
    <w:p>
      <w:pPr>
        <w:pStyle w:val="5"/>
        <w:keepNext w:val="0"/>
        <w:keepLines w:val="0"/>
        <w:widowControl/>
        <w:suppressLineNumbers w:val="0"/>
      </w:pPr>
      <w:r>
        <w:t>　　二、主要原则</w:t>
      </w:r>
    </w:p>
    <w:p>
      <w:pPr>
        <w:pStyle w:val="5"/>
        <w:keepNext w:val="0"/>
        <w:keepLines w:val="0"/>
        <w:widowControl/>
        <w:suppressLineNumbers w:val="0"/>
      </w:pPr>
      <w:r>
        <w:t>　　安全为本。以实现农村低收入群体住房安全有保障为根本，建立农房定期体检制度，加强日常维修管护，推进农村危房改造和农房抗震改造，加强质量安全技术指导与监督管理，及时消除房屋安全隐患。</w:t>
      </w:r>
    </w:p>
    <w:p>
      <w:pPr>
        <w:pStyle w:val="5"/>
        <w:keepNext w:val="0"/>
        <w:keepLines w:val="0"/>
        <w:widowControl/>
        <w:suppressLineNumbers w:val="0"/>
      </w:pPr>
      <w:r>
        <w:t>　　因地制宜。各地根据实际情况确定农村低收入群体等重点对象住房保障方式、建设标准等，指导农户采取多种方式保障住房安全，就地取材降低建设成本。</w:t>
      </w:r>
    </w:p>
    <w:p>
      <w:pPr>
        <w:pStyle w:val="5"/>
        <w:keepNext w:val="0"/>
        <w:keepLines w:val="0"/>
        <w:widowControl/>
        <w:suppressLineNumbers w:val="0"/>
      </w:pPr>
      <w:r>
        <w:t>　　农户主体。农户是实现其住房安全的责任主体，对于发现的房屋安全隐患，应提出危房改造申请并组织实施。实施危房改造的农户应充分参与改造方案选择、筹措资金、投工投劳、施工过程质量监督与竣工验收等全过程。</w:t>
      </w:r>
    </w:p>
    <w:p>
      <w:pPr>
        <w:pStyle w:val="5"/>
        <w:keepNext w:val="0"/>
        <w:keepLines w:val="0"/>
        <w:widowControl/>
        <w:suppressLineNumbers w:val="0"/>
      </w:pPr>
      <w:r>
        <w:t>　　提升质量。巩固拓展脱贫攻坚成果，统筹提升农房居住功能和建筑风貌，改善农村低收入群体等重点对象住房条件和居住环境，接续推进乡村全面振兴。</w:t>
      </w:r>
    </w:p>
    <w:p>
      <w:pPr>
        <w:pStyle w:val="5"/>
        <w:keepNext w:val="0"/>
        <w:keepLines w:val="0"/>
        <w:widowControl/>
        <w:suppressLineNumbers w:val="0"/>
      </w:pPr>
      <w:r>
        <w:t>　　三、保障对象</w:t>
      </w:r>
    </w:p>
    <w:p>
      <w:pPr>
        <w:pStyle w:val="5"/>
        <w:keepNext w:val="0"/>
        <w:keepLines w:val="0"/>
        <w:widowControl/>
        <w:suppressLineNumbers w:val="0"/>
      </w:pPr>
      <w:r>
        <w:t>　　（一）巩固拓展脱贫攻坚成果方面。农村住房安全保障对象主要是农村低收入群体，包括农村易返贫致贫户、农村低保户、农村分散供养特困人员，以及因病因灾因意外事故等刚性支出较大或收入大幅缩减导致基本生活出现严重困难家庭等。</w:t>
      </w:r>
    </w:p>
    <w:p>
      <w:pPr>
        <w:pStyle w:val="5"/>
        <w:keepNext w:val="0"/>
        <w:keepLines w:val="0"/>
        <w:widowControl/>
        <w:suppressLineNumbers w:val="0"/>
      </w:pPr>
      <w:r>
        <w:t>　　（二）接续推进乡村振兴方面。为保持农村危房改造政策和农村住房救助政策的延续性，对农村低保边缘家庭和未享受过农村住房保障政策支持且依靠自身力量无法解决住房安全问题的其他脱贫户给予支持。</w:t>
      </w:r>
    </w:p>
    <w:p>
      <w:pPr>
        <w:pStyle w:val="5"/>
        <w:keepNext w:val="0"/>
        <w:keepLines w:val="0"/>
        <w:widowControl/>
        <w:suppressLineNumbers w:val="0"/>
      </w:pPr>
      <w:r>
        <w:t>　　农村低收入群体等重点对象中住房安全未保障的，可由农户本人向村委会（社区）提出申请，按照村评议、乡镇审核、县级审批的工作程序，对经鉴定或评定住房确属C级或D级或无房户予以住房安全保障支持。对于保障对象中失能失智无法提出申请的特殊人员，由村委会（社区）帮助其提出住房保障申请。各地要加强政策宣传，畅通问题反映渠道，及时将符合条件的农户纳入支持范围。</w:t>
      </w:r>
    </w:p>
    <w:p>
      <w:pPr>
        <w:pStyle w:val="5"/>
        <w:keepNext w:val="0"/>
        <w:keepLines w:val="0"/>
        <w:widowControl/>
        <w:suppressLineNumbers w:val="0"/>
      </w:pPr>
      <w:r>
        <w:t>　　四、保障方式</w:t>
      </w:r>
    </w:p>
    <w:p>
      <w:pPr>
        <w:pStyle w:val="5"/>
        <w:keepNext w:val="0"/>
        <w:keepLines w:val="0"/>
        <w:widowControl/>
        <w:suppressLineNumbers w:val="0"/>
      </w:pPr>
      <w:r>
        <w:t>　　通过农户自筹资金为主、政府予以适当补助方式实施农村危房改造，是农村低收入群体等重点对象住房安全保障的主要方式。符合条件的保障对象可纳入农村危房改造支持范围，根据房屋危险程度和农户改造意愿选择加固改造、拆除重建或选址新建等方式解决住房安全问题。对于已实施过农村危房改造但由于小型自然灾害等原因又变成危房且农户符合条件的，有条件的地区可将其再次纳入支持范围，但已纳入因灾倒损农房恢复重建补助范围的，不得重复享受农村危房改造支持政策。</w:t>
      </w:r>
    </w:p>
    <w:p>
      <w:pPr>
        <w:pStyle w:val="5"/>
        <w:keepNext w:val="0"/>
        <w:keepLines w:val="0"/>
        <w:widowControl/>
        <w:suppressLineNumbers w:val="0"/>
      </w:pPr>
      <w:r>
        <w:t>　　鼓励各地采取统建农村集体公租房、修缮加固现有闲置公房等方式，供自筹资金和投工投劳能力弱的特殊困难农户周转使用，解决其住房安全问题。村集体也可以协助盘活农村闲置安全房屋，向符合条件的保障对象进行租赁或置换，地方政府可给予租赁或置换补贴，避免农户因建房而返贫致贫。</w:t>
      </w:r>
    </w:p>
    <w:p>
      <w:pPr>
        <w:pStyle w:val="5"/>
        <w:keepNext w:val="0"/>
        <w:keepLines w:val="0"/>
        <w:widowControl/>
        <w:suppressLineNumbers w:val="0"/>
      </w:pPr>
      <w:r>
        <w:t>　　7度及以上抗震设防地区住房达不到当地抗震设防要求的，引导农户因地制宜选择拆除重建、加固改造等方式，对抗震不达标且农户符合条件的农房实施改造。</w:t>
      </w:r>
    </w:p>
    <w:p>
      <w:pPr>
        <w:pStyle w:val="5"/>
        <w:keepNext w:val="0"/>
        <w:keepLines w:val="0"/>
        <w:widowControl/>
        <w:suppressLineNumbers w:val="0"/>
      </w:pPr>
      <w:r>
        <w:t>　　五、工作任务</w:t>
      </w:r>
    </w:p>
    <w:p>
      <w:pPr>
        <w:pStyle w:val="5"/>
        <w:keepNext w:val="0"/>
        <w:keepLines w:val="0"/>
        <w:widowControl/>
        <w:suppressLineNumbers w:val="0"/>
      </w:pPr>
      <w:r>
        <w:t>　　（一）健全动态监测机制。各地住房和城乡建设部门要与乡村振兴（扶贫）、民政等部门加强协调联动和数据互通共享，健全完善农村低收入群体等重点对象住房安全动态监测机制。对于监测发现的住房安全问题要建立工作台账，实行销号制度，解决一户，销号一户，确保所有保障对象住房安全。</w:t>
      </w:r>
    </w:p>
    <w:p>
      <w:pPr>
        <w:pStyle w:val="5"/>
        <w:keepNext w:val="0"/>
        <w:keepLines w:val="0"/>
        <w:widowControl/>
        <w:suppressLineNumbers w:val="0"/>
      </w:pPr>
      <w:r>
        <w:t>　　（二）加强质量安全管理。各地要加强乡村建设工匠等技术力量培训，建立行政区域内技术帮扶机制，帮助技术力量薄弱的地区落实农村房屋安全性鉴定等相关技术要求，确保鉴定结果准确。因地制宜编制符合安全要求及农民生活习惯的农房设计通用图集，免费提供农户参考，引导农户选择低成本的改造方式。加强施工现场巡查与指导监督，及时发现问题并督促整改，指导做好竣工验收，确保改造后的房屋符合安全要求。</w:t>
      </w:r>
    </w:p>
    <w:p>
      <w:pPr>
        <w:pStyle w:val="5"/>
        <w:keepNext w:val="0"/>
        <w:keepLines w:val="0"/>
        <w:widowControl/>
        <w:suppressLineNumbers w:val="0"/>
      </w:pPr>
      <w:r>
        <w:t>　　（三）提升农房建设品质。在确保房屋基本安全的前提下，以实施乡村建设行动、接续推进乡村全面振兴为目标加强农房设计，提升农房建设品质，完善农房使用功能。鼓励北方地区继续在改造中同步实施建筑节能改造，在保障住房安全性的同时降低能耗和农户采暖支出，提高农房节能水平。鼓励有条件的地区推广绿色建材应用和新型建造方式，推进水冲式厕所入户改造和建设，改善农村住房条件和居住环境。</w:t>
      </w:r>
    </w:p>
    <w:p>
      <w:pPr>
        <w:pStyle w:val="5"/>
        <w:keepNext w:val="0"/>
        <w:keepLines w:val="0"/>
        <w:widowControl/>
        <w:suppressLineNumbers w:val="0"/>
      </w:pPr>
      <w:r>
        <w:t>　　（四）加强监督和激励引导。各地要落实保障对象公示制度，将保障对象基本信息和各审查环节的结果在村务公开栏进行公示，强化群众监督作用。加强补助资金使用监管，及时拨付补助资金，主动接受纪检监察、审计和社会监督，坚决查处挪用、冒领、克扣、拖欠补助资金和索要好处费等违法违规违纪行为。继续执行年度绩效评价与督查激励制度，充分发挥其正向激励作用，提升农村低收入群体住房安全保障工作实效。</w:t>
      </w:r>
    </w:p>
    <w:p>
      <w:pPr>
        <w:pStyle w:val="5"/>
        <w:keepNext w:val="0"/>
        <w:keepLines w:val="0"/>
        <w:widowControl/>
        <w:suppressLineNumbers w:val="0"/>
      </w:pPr>
      <w:r>
        <w:t>　　六、保障措施</w:t>
      </w:r>
    </w:p>
    <w:p>
      <w:pPr>
        <w:pStyle w:val="5"/>
        <w:keepNext w:val="0"/>
        <w:keepLines w:val="0"/>
        <w:widowControl/>
        <w:suppressLineNumbers w:val="0"/>
      </w:pPr>
      <w:r>
        <w:t>　　（一）强化责任落实落地。农村低收入群体等重点对象住房安全保障工作实行省（自治区、直辖市）负总责，市（地、州）县（市、区）乡（镇）抓落实的责任机制，中央统筹指导。相关部门要各司其职，加强政策引导，形成协同推进工作合力。住房和城乡建设部门负责统筹推进农村危房改造工作，组织编制农村房屋安全性鉴定、建管等政策规定和技术要求并组织实施；财政部门负责安排农村危房改造补助资金，加强资金使用监管；民政部门负责认定农村低保户、农村分散供养特困人员、农村低保边缘家庭；乡村振兴（扶贫）部门会同有关部门负责认定因病因灾因意外事故等刚性支出较大或收入大幅缩减导致基本生活出现严重困难家庭；乡村振兴（扶贫）部门负责认定农村易返贫致贫户、符合条件的其他脱贫户。各地各部门要合理安排工作计划，积极推进工程实施，统筹做好项目、资金、人力调配，对乡村振兴重点帮扶县予以倾斜支持。要充分发挥防止返贫监测和帮扶机制作用，持续跟踪住房安全保障情况，加强部门协作和信息共享，及时发现安全隐患，及时给予妥善帮扶，切实保障农村低收入群体等重点对象住房安全。</w:t>
      </w:r>
    </w:p>
    <w:p>
      <w:pPr>
        <w:pStyle w:val="5"/>
        <w:keepNext w:val="0"/>
        <w:keepLines w:val="0"/>
        <w:widowControl/>
        <w:suppressLineNumbers w:val="0"/>
      </w:pPr>
      <w:r>
        <w:t>　　（二）拓宽资金筹措渠道。建立农户主体、政府补助、社会帮扶等多元化资金筹措机制。地方各级财政要加强资金保障，中央财政通过现有资金渠道支持地方做好农村低收入群体等重点对象住房安全保障工作。鼓励各地结合实际制定农村房屋保险政策，引导保险机构设立“农村住房安全保险”险种，减轻自然灾害等原因对农户住房和生活的影响。加大对农村住房安全保障的信贷支持力度，鼓励金融机构向获得危房改造政策支持的农户提供贷款支持，地方可视情给予财政贴息等政策支持。</w:t>
      </w:r>
    </w:p>
    <w:p>
      <w:pPr>
        <w:pStyle w:val="5"/>
        <w:keepNext w:val="0"/>
        <w:keepLines w:val="0"/>
        <w:widowControl/>
        <w:suppressLineNumbers w:val="0"/>
      </w:pPr>
      <w:r>
        <w:t>　　（三）加强日常管理服务。各地要进一步加强乡村建设管理与技术力量，确保农房建管落实到位。建立农村房屋全生命周期管理制度，充分依靠乡（镇）政府和村“两委”，落实农户住房安全日常巡查、改造过程技术指导与监督等职责。加强对乡村建设工匠的培训和管理，提升房屋建设管理水平，并为农户对改造后房屋的日常维护与管理提供技术支持。</w:t>
      </w:r>
    </w:p>
    <w:p>
      <w:pPr>
        <w:pStyle w:val="5"/>
        <w:keepNext w:val="0"/>
        <w:keepLines w:val="0"/>
        <w:widowControl/>
        <w:suppressLineNumbers w:val="0"/>
      </w:pPr>
      <w:r>
        <w:t>　　各地要及时总结经验，围绕保障对象确认、资金补助标准、危房改造方式、日常维修管护等方面积极探索有效做法，逐步建立长效机制。</w:t>
      </w:r>
    </w:p>
    <w:p>
      <w:pPr>
        <w:pStyle w:val="5"/>
        <w:keepNext w:val="0"/>
        <w:keepLines w:val="0"/>
        <w:widowControl/>
        <w:suppressLineNumbers w:val="0"/>
      </w:pPr>
      <w:r>
        <w:br w:type="textWrapping"/>
      </w:r>
      <w:r>
        <w:t>　　　　　　　　　　　　　　　　　　　　　　　　　　　　　　　　　　　　住房和城乡建设部</w:t>
      </w:r>
      <w:r>
        <w:br w:type="textWrapping"/>
      </w:r>
      <w:r>
        <w:t>　　　　　　　　　　　　　　　　　　　　　　　　　　　　　　　　　　　　　　财政部</w:t>
      </w:r>
      <w:r>
        <w:br w:type="textWrapping"/>
      </w:r>
      <w:r>
        <w:t>　　　　　　　　　　　　　　　　　　　　　　　　　　　　　　　　　　　　　　民政部</w:t>
      </w:r>
      <w:r>
        <w:br w:type="textWrapping"/>
      </w:r>
      <w:r>
        <w:t>　　　　　　　　　　　　　　　　　　　　　　　　　　　　　　　　　　　　 国家乡村振兴局</w:t>
      </w:r>
      <w:r>
        <w:br w:type="textWrapping"/>
      </w:r>
      <w:r>
        <w:t>　　　　　　　　　　　　　　　　　　　　　　　　　　　　　　　　　　　　 2021年4月14日</w:t>
      </w:r>
    </w:p>
    <w:p>
      <w:pPr>
        <w:pStyle w:val="5"/>
        <w:keepNext w:val="0"/>
        <w:keepLines w:val="0"/>
        <w:widowControl/>
        <w:suppressLineNumbers w:val="0"/>
      </w:pPr>
      <w:r>
        <w:br w:type="textWrapping"/>
      </w:r>
      <w:r>
        <w:t>　　</w:t>
      </w:r>
    </w:p>
    <w:sectPr>
      <w:headerReference r:id="rId5" w:type="default"/>
      <w:footerReference r:id="rId6" w:type="default"/>
      <w:type w:val="continuous"/>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6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0S+IxAgAAYg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xNEviMQIAAGI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12"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P0c&#10;IxXqAQAAtg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Hans"/>
      </w:rPr>
      <w:t>住房和城乡建设部</w:t>
    </w:r>
    <w:r>
      <w:rPr>
        <w:rFonts w:hint="eastAsia" w:ascii="宋体" w:hAnsi="宋体" w:eastAsia="宋体" w:cs="宋体"/>
        <w:b/>
        <w:bCs/>
        <w:color w:val="005192"/>
        <w:sz w:val="28"/>
        <w:szCs w:val="44"/>
        <w:lang w:val="en-US" w:eastAsia="zh-CN"/>
      </w:rPr>
      <w:t>发布</w:t>
    </w:r>
  </w:p>
  <w:p>
    <w:pPr>
      <w:pStyle w:val="4"/>
      <w:wordWrap w:val="0"/>
      <w:ind w:left="4788" w:leftChars="2280" w:firstLine="5622" w:firstLineChars="2000"/>
      <w:jc w:val="both"/>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Hans"/>
      </w:rPr>
      <w:t>住房和城乡建设部</w:t>
    </w:r>
    <w:r>
      <w:rPr>
        <w:rFonts w:hint="eastAsia" w:ascii="宋体" w:hAnsi="宋体" w:eastAsia="宋体" w:cs="宋体"/>
        <w:b/>
        <w:bCs/>
        <w:color w:val="005192"/>
        <w:sz w:val="28"/>
        <w:szCs w:val="44"/>
        <w:lang w:val="en-US" w:eastAsia="zh-CN"/>
      </w:rPr>
      <w:t>发布</w:t>
    </w:r>
  </w:p>
  <w:p>
    <w:pPr>
      <w:pStyle w:val="4"/>
      <w:wordWrap w:val="0"/>
      <w:ind w:left="4788"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0" r="0" b="0"/>
              <wp:wrapNone/>
              <wp:docPr id="9"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I1OD5XzAQAAvQ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default"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21590" b="21590"/>
          <wp:docPr id="10"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住房和城乡建设部</w:t>
    </w:r>
    <w:r>
      <w:rPr>
        <w:rFonts w:hint="eastAsia" w:ascii="宋体" w:hAnsi="宋体" w:eastAsia="宋体" w:cs="宋体"/>
        <w:b/>
        <w:bCs/>
        <w:color w:val="005192"/>
        <w:sz w:val="32"/>
        <w:lang w:val="en-US" w:eastAsia="zh-CN"/>
      </w:rPr>
      <w:t>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default"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住房和城乡建设部</w:t>
    </w:r>
    <w:r>
      <w:rPr>
        <w:rFonts w:hint="eastAsia" w:ascii="宋体" w:hAnsi="宋体" w:eastAsia="宋体" w:cs="宋体"/>
        <w:b/>
        <w:bCs/>
        <w:color w:val="005192"/>
        <w:sz w:val="32"/>
        <w:lang w:val="en-US" w:eastAsia="zh-CN"/>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Y2I5NTBmNmQxNTRmZTY4ODU3MjA0OGRkYmU1ZjMifQ=="/>
  </w:docVars>
  <w:rsids>
    <w:rsidRoot w:val="00172A27"/>
    <w:rsid w:val="019E71BD"/>
    <w:rsid w:val="04B679C3"/>
    <w:rsid w:val="07984A14"/>
    <w:rsid w:val="080F63D8"/>
    <w:rsid w:val="09341458"/>
    <w:rsid w:val="0B0912D7"/>
    <w:rsid w:val="0C7334CF"/>
    <w:rsid w:val="0CA15669"/>
    <w:rsid w:val="0CF91563"/>
    <w:rsid w:val="0DB51C1B"/>
    <w:rsid w:val="0FF73B9E"/>
    <w:rsid w:val="104E6ADE"/>
    <w:rsid w:val="106D0892"/>
    <w:rsid w:val="150D43F1"/>
    <w:rsid w:val="152D2DCA"/>
    <w:rsid w:val="177B0CB7"/>
    <w:rsid w:val="1AAA57B3"/>
    <w:rsid w:val="1C5205AC"/>
    <w:rsid w:val="1DEC284C"/>
    <w:rsid w:val="1E6523AC"/>
    <w:rsid w:val="1F38092F"/>
    <w:rsid w:val="22122D7A"/>
    <w:rsid w:val="22440422"/>
    <w:rsid w:val="24F923DE"/>
    <w:rsid w:val="2FEA28EE"/>
    <w:rsid w:val="30EC0F07"/>
    <w:rsid w:val="31A15F24"/>
    <w:rsid w:val="35FF5189"/>
    <w:rsid w:val="361D6A8E"/>
    <w:rsid w:val="370047D0"/>
    <w:rsid w:val="395347B5"/>
    <w:rsid w:val="399E445C"/>
    <w:rsid w:val="39A232A0"/>
    <w:rsid w:val="39E745AA"/>
    <w:rsid w:val="3B5A6BBB"/>
    <w:rsid w:val="3EDA13A6"/>
    <w:rsid w:val="3F675B76"/>
    <w:rsid w:val="41A75102"/>
    <w:rsid w:val="42F058B7"/>
    <w:rsid w:val="436109F6"/>
    <w:rsid w:val="43AA5DF4"/>
    <w:rsid w:val="441A38D4"/>
    <w:rsid w:val="46C329DE"/>
    <w:rsid w:val="4BC77339"/>
    <w:rsid w:val="4C9236C5"/>
    <w:rsid w:val="4D2D4D33"/>
    <w:rsid w:val="4DF5FDFA"/>
    <w:rsid w:val="4F082F58"/>
    <w:rsid w:val="4FB12E0A"/>
    <w:rsid w:val="505C172E"/>
    <w:rsid w:val="510F6820"/>
    <w:rsid w:val="52F46F0B"/>
    <w:rsid w:val="53395DD6"/>
    <w:rsid w:val="53D8014D"/>
    <w:rsid w:val="54A72BAF"/>
    <w:rsid w:val="55E064E0"/>
    <w:rsid w:val="572C6D10"/>
    <w:rsid w:val="591B758D"/>
    <w:rsid w:val="5DC34279"/>
    <w:rsid w:val="5FE24921"/>
    <w:rsid w:val="60545FFD"/>
    <w:rsid w:val="608816D1"/>
    <w:rsid w:val="60EF4E7F"/>
    <w:rsid w:val="65A01246"/>
    <w:rsid w:val="665233C1"/>
    <w:rsid w:val="6814385F"/>
    <w:rsid w:val="6AD9688B"/>
    <w:rsid w:val="6BB107A8"/>
    <w:rsid w:val="6D0E3F22"/>
    <w:rsid w:val="6DFB786B"/>
    <w:rsid w:val="6F4058FE"/>
    <w:rsid w:val="70CA37B5"/>
    <w:rsid w:val="71DF1DEC"/>
    <w:rsid w:val="745616B4"/>
    <w:rsid w:val="77AD4519"/>
    <w:rsid w:val="77B4581D"/>
    <w:rsid w:val="7B9EA27F"/>
    <w:rsid w:val="7BFD5257"/>
    <w:rsid w:val="7C9011D9"/>
    <w:rsid w:val="7CAD4AB0"/>
    <w:rsid w:val="7D7F7856"/>
    <w:rsid w:val="7D8FBCD1"/>
    <w:rsid w:val="7DC651C5"/>
    <w:rsid w:val="7EF71218"/>
    <w:rsid w:val="7F426C0D"/>
    <w:rsid w:val="7F682EC0"/>
    <w:rsid w:val="7FAAEAFC"/>
    <w:rsid w:val="7FCC2834"/>
    <w:rsid w:val="7FD71E57"/>
    <w:rsid w:val="8D6F21C3"/>
    <w:rsid w:val="A7FFB26B"/>
    <w:rsid w:val="AABFA4D9"/>
    <w:rsid w:val="AF3F3722"/>
    <w:rsid w:val="CFAB30EF"/>
    <w:rsid w:val="DBEF3F93"/>
    <w:rsid w:val="DDEE572B"/>
    <w:rsid w:val="DDF7B16A"/>
    <w:rsid w:val="E8EE537F"/>
    <w:rsid w:val="EABF0B3F"/>
    <w:rsid w:val="EDCB2C62"/>
    <w:rsid w:val="EFF30E8E"/>
    <w:rsid w:val="F1D6D196"/>
    <w:rsid w:val="FDBFC5CA"/>
    <w:rsid w:val="FE970F9C"/>
    <w:rsid w:val="FF6917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autoRedefine/>
    <w:qFormat/>
    <w:uiPriority w:val="0"/>
    <w:rPr>
      <w:color w:val="0000FF"/>
      <w:u w:val="single"/>
    </w:rPr>
  </w:style>
  <w:style w:type="table" w:customStyle="1" w:styleId="12">
    <w:name w:val="Table Normal1"/>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507</Words>
  <Characters>689</Characters>
  <Lines>1</Lines>
  <Paragraphs>1</Paragraphs>
  <TotalTime>0</TotalTime>
  <ScaleCrop>false</ScaleCrop>
  <LinksUpToDate>false</LinksUpToDate>
  <CharactersWithSpaces>717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2021-09-16T18:41:00Z</dcterms:created>
  <dc:creator>t</dc:creator>
  <cp:lastModifiedBy>枫子</cp:lastModifiedBy>
  <cp:lastPrinted>2021-11-02T19:30:00Z</cp:lastPrinted>
  <dcterms:modified xsi:type="dcterms:W3CDTF">2024-03-07T01:46:46Z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9331CC0D7A7F5B8B30C447631679A256</vt:lpwstr>
  </property>
</Properties>
</file>